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0A837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8"/>
          <w:sz w:val="32"/>
          <w:szCs w:val="21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8"/>
          <w:sz w:val="32"/>
          <w:szCs w:val="21"/>
          <w:shd w:val="clear" w:color="auto" w:fill="FFFFFF"/>
          <w:lang w:val="en-US" w:eastAsia="zh-CN"/>
        </w:rPr>
        <w:t>附件</w:t>
      </w:r>
    </w:p>
    <w:p w14:paraId="4CD071A7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仿宋_GBK" w:cs="微软雅黑"/>
          <w:i w:val="0"/>
          <w:iCs w:val="0"/>
          <w:caps w:val="0"/>
          <w:color w:val="333333"/>
          <w:spacing w:val="8"/>
          <w:sz w:val="32"/>
          <w:szCs w:val="21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8"/>
          <w:sz w:val="32"/>
          <w:szCs w:val="21"/>
          <w:shd w:val="clear" w:color="auto" w:fill="FFFFFF"/>
          <w:lang w:val="en-US" w:eastAsia="zh-CN"/>
        </w:rPr>
        <w:t>《2025年江苏福彩责任彩票报告》编制服务项目评分细则</w:t>
      </w:r>
      <w:bookmarkStart w:id="0" w:name="_GoBack"/>
      <w:bookmarkEnd w:id="0"/>
    </w:p>
    <w:p w14:paraId="49CE4673">
      <w:pPr>
        <w:spacing w:line="440" w:lineRule="exact"/>
        <w:ind w:firstLine="420" w:firstLineChars="200"/>
        <w:jc w:val="left"/>
        <w:rPr>
          <w:rFonts w:hint="eastAsia"/>
        </w:rPr>
      </w:pPr>
    </w:p>
    <w:tbl>
      <w:tblPr>
        <w:tblStyle w:val="6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24"/>
        <w:gridCol w:w="226"/>
        <w:gridCol w:w="6530"/>
      </w:tblGrid>
      <w:tr w14:paraId="4425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4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CA6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内容及分值</w:t>
            </w:r>
          </w:p>
        </w:tc>
        <w:tc>
          <w:tcPr>
            <w:tcW w:w="675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678F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标准</w:t>
            </w:r>
          </w:p>
        </w:tc>
      </w:tr>
      <w:tr w14:paraId="43289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BBF342"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一、价格分（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0分）</w:t>
            </w:r>
          </w:p>
        </w:tc>
      </w:tr>
      <w:tr w14:paraId="048C9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45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148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投标报价</w:t>
            </w:r>
          </w:p>
          <w:p w14:paraId="4B96FE0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0分）</w:t>
            </w:r>
          </w:p>
        </w:tc>
        <w:tc>
          <w:tcPr>
            <w:tcW w:w="6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B9564C"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价格分采用低价优先法计算，即满足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文件要求且报价最低的为评标基准价，其价格分为满分。其他投标人的价格分统一按照下列公式计算（小数点保留两位）：</w:t>
            </w:r>
          </w:p>
          <w:p w14:paraId="7F6F2ADB">
            <w:pPr>
              <w:bidi w:val="0"/>
              <w:rPr>
                <w:rFonts w:hint="eastAsia" w:ascii="宋体" w:hAnsi="宋体" w:eastAsia="宋体" w:cs="宋体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报价得分=(评标基准价／响应报价)×30。</w:t>
            </w:r>
          </w:p>
        </w:tc>
      </w:tr>
      <w:tr w14:paraId="0D39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E5EFE5"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二、技术分(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0分)  </w:t>
            </w:r>
          </w:p>
        </w:tc>
      </w:tr>
      <w:tr w14:paraId="4721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9196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B5D8D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001F9A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626F99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7A227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511A7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603BC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6CD9AC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2B74B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EA28D5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65907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224F78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</w:t>
            </w:r>
          </w:p>
          <w:p w14:paraId="05B3868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</w:t>
            </w:r>
          </w:p>
          <w:p w14:paraId="1943E6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0分)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90F7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</w:t>
            </w:r>
          </w:p>
          <w:p w14:paraId="154F4347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现状、</w:t>
            </w:r>
          </w:p>
          <w:p w14:paraId="7D0898CB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背景和</w:t>
            </w:r>
          </w:p>
          <w:p w14:paraId="16B22829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需求理解</w:t>
            </w:r>
          </w:p>
          <w:p w14:paraId="47CBDBC7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（1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分）</w:t>
            </w:r>
          </w:p>
        </w:tc>
        <w:tc>
          <w:tcPr>
            <w:tcW w:w="6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18F199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根据响应方案是否已充分了解项目现状和背景，是否理解项目需求情况，由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评审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小组进行综合评审。</w:t>
            </w:r>
          </w:p>
          <w:p w14:paraId="2A5BFDC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项目现状和背景分析透彻、需求把握准确：1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1D3C75A1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项目现状和背景分析较透彻、需求把握较准确：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527FB5A7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项目现状和背景分析基本清晰、需求把握基本准确：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5F90967C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项目现状和背景分析不够清晰、需求把握不够准确：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5C511BDC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不提供的：0分。</w:t>
            </w:r>
          </w:p>
        </w:tc>
      </w:tr>
      <w:tr w14:paraId="69765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603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6FF1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</w:t>
            </w:r>
          </w:p>
          <w:p w14:paraId="4A2A05A9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技术</w:t>
            </w:r>
          </w:p>
          <w:p w14:paraId="151D17D2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方案</w:t>
            </w:r>
          </w:p>
          <w:p w14:paraId="568B6DBD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（1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6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4C75EB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项目技术方案是否详细完善，问题及难点分析是否透彻，提出的技术路线是否科学合理，切实可行，由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评审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小组进行综合评审。</w:t>
            </w:r>
          </w:p>
          <w:p w14:paraId="1B8898A5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技术方案详细完善，问题及难点分析透彻，技术路线科学合理：1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11BD4F7E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技术方案较详细完善，问题及难点分析比较透彻，技术路线比较科学合理：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051F4CE8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技术方案基本完善、问题及难点分析基本清晰、技术路线基本可行：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47262EF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技术方案不够完善、问题及难点分析不够清晰、技术路线不够科学合理：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525DC8FF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不提供的：0分。</w:t>
            </w:r>
          </w:p>
        </w:tc>
      </w:tr>
      <w:tr w14:paraId="3DE26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1AF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067A7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</w:t>
            </w:r>
          </w:p>
          <w:p w14:paraId="088DF9E5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实施</w:t>
            </w:r>
          </w:p>
          <w:p w14:paraId="5EB3BAC7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方案</w:t>
            </w:r>
          </w:p>
          <w:p w14:paraId="5047FCA7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0分）</w:t>
            </w:r>
          </w:p>
        </w:tc>
        <w:tc>
          <w:tcPr>
            <w:tcW w:w="675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954ADD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项目实施方案是否有详细、完整的实施计划；工作分解、进度安排是否科学合理，由评审小组进行综合评审。</w:t>
            </w:r>
          </w:p>
          <w:p w14:paraId="560B9858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项目实施方案详细，计划可操作性强，进度安排科学合理：20分；</w:t>
            </w:r>
          </w:p>
          <w:p w14:paraId="6C78A95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项目实施方案较详细，计划可操作性较强，进度安排较科学合理：14分；</w:t>
            </w:r>
          </w:p>
          <w:p w14:paraId="0C20E31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项目实施方案完整，计划可操作性一般，进度安排基本科学合理：10分；</w:t>
            </w:r>
          </w:p>
          <w:p w14:paraId="5FFA949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项目实施方案较完整，计划可操作性较差，进度安排不太科学合理：4分；</w:t>
            </w:r>
          </w:p>
          <w:p w14:paraId="1907EB48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不提供的：0分。</w:t>
            </w:r>
          </w:p>
        </w:tc>
      </w:tr>
      <w:tr w14:paraId="4B7A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B12D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72CBB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质量</w:t>
            </w:r>
          </w:p>
          <w:p w14:paraId="6A49639B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保证</w:t>
            </w:r>
          </w:p>
          <w:p w14:paraId="4B4D662D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方案</w:t>
            </w:r>
          </w:p>
          <w:p w14:paraId="700D64C9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（10分）</w:t>
            </w:r>
          </w:p>
        </w:tc>
        <w:tc>
          <w:tcPr>
            <w:tcW w:w="6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EFD935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项目是否有明确、完整的质量保证方案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由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评审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小组进行综合评审。</w:t>
            </w:r>
          </w:p>
          <w:p w14:paraId="7EEF7A83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项目质量保证方案明确完整，对项目顺利推进保障有力： 1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2316E5A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项目质量保证方案比较明确完整，对项目顺利推进保障比较有力：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分；</w:t>
            </w:r>
          </w:p>
          <w:p w14:paraId="501F34A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项目质量保证方案基本明确完整，基本能保障项目顺利推进： 6分；</w:t>
            </w:r>
          </w:p>
          <w:p w14:paraId="0D4D66D4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项目质量保证方案不够明确完整，不太能保障项目推进：2分；</w:t>
            </w:r>
          </w:p>
          <w:p w14:paraId="1C6BC532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不提供的：0分。</w:t>
            </w:r>
          </w:p>
        </w:tc>
      </w:tr>
      <w:tr w14:paraId="419E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20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0A749D">
            <w:pP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三、商务部分（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分）</w:t>
            </w:r>
          </w:p>
        </w:tc>
      </w:tr>
      <w:tr w14:paraId="78B05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55A4">
            <w:pPr>
              <w:ind w:right="-145" w:rightChars="-6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履约</w:t>
            </w:r>
          </w:p>
          <w:p w14:paraId="4A09C447">
            <w:pPr>
              <w:ind w:right="-145" w:rightChars="-6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能力</w:t>
            </w:r>
          </w:p>
          <w:p w14:paraId="7AC40E9A">
            <w:pPr>
              <w:ind w:right="-145" w:rightChars="-69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E73FE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类似</w:t>
            </w:r>
          </w:p>
          <w:p w14:paraId="72014BD2">
            <w:pPr>
              <w:snapToGrid w:val="0"/>
              <w:spacing w:line="312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业绩</w:t>
            </w:r>
          </w:p>
          <w:p w14:paraId="7B4932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/>
              </w:rPr>
              <w:t>0分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）</w:t>
            </w:r>
          </w:p>
        </w:tc>
        <w:tc>
          <w:tcPr>
            <w:tcW w:w="65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7C0E">
            <w:pPr>
              <w:adjustRightInd w:val="0"/>
              <w:snapToGrid w:val="0"/>
              <w:spacing w:line="312" w:lineRule="auto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 xml:space="preserve"> 提供</w:t>
            </w:r>
            <w:r>
              <w:rPr>
                <w:rFonts w:hint="eastAsia" w:ascii="宋体" w:hAnsi="宋体" w:eastAsia="宋体" w:cs="Cambria"/>
                <w:sz w:val="24"/>
                <w:szCs w:val="24"/>
                <w:lang w:val="en-US" w:eastAsia="zh-CN"/>
              </w:rPr>
              <w:t>2023年1月1日以来</w:t>
            </w:r>
            <w:r>
              <w:rPr>
                <w:rFonts w:hint="default" w:ascii="宋体" w:hAnsi="宋体" w:eastAsia="宋体" w:cs="Cambria"/>
                <w:sz w:val="24"/>
                <w:szCs w:val="24"/>
              </w:rPr>
              <w:t>承担过</w:t>
            </w:r>
            <w:r>
              <w:rPr>
                <w:rFonts w:hint="eastAsia" w:ascii="宋体" w:hAnsi="宋体" w:eastAsia="宋体" w:cs="Cambria"/>
                <w:sz w:val="24"/>
                <w:szCs w:val="24"/>
                <w:lang w:val="en-US" w:eastAsia="zh-CN"/>
              </w:rPr>
              <w:t>类似规模</w:t>
            </w:r>
            <w:r>
              <w:rPr>
                <w:rFonts w:hint="default" w:ascii="宋体" w:hAnsi="宋体" w:eastAsia="宋体" w:cs="Cambria"/>
                <w:sz w:val="24"/>
                <w:szCs w:val="24"/>
              </w:rPr>
              <w:t>责任彩票报告编印服务项目</w:t>
            </w:r>
            <w:r>
              <w:rPr>
                <w:rFonts w:hint="eastAsia" w:ascii="宋体" w:hAnsi="宋体" w:eastAsia="宋体" w:cs="Cambria"/>
                <w:sz w:val="24"/>
                <w:szCs w:val="24"/>
                <w:lang w:eastAsia="zh-CN"/>
              </w:rPr>
              <w:t>的每个得</w:t>
            </w:r>
            <w:r>
              <w:rPr>
                <w:rFonts w:hint="eastAsia" w:ascii="宋体" w:hAnsi="宋体" w:eastAsia="宋体" w:cs="Cambria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宋体" w:hAnsi="宋体" w:eastAsia="宋体" w:cs="Cambria"/>
                <w:sz w:val="24"/>
                <w:szCs w:val="24"/>
                <w:lang w:eastAsia="zh-CN"/>
              </w:rPr>
              <w:t>，总计</w:t>
            </w:r>
            <w:r>
              <w:rPr>
                <w:rFonts w:hint="eastAsia" w:ascii="宋体" w:hAnsi="宋体" w:eastAsia="宋体" w:cs="Cambria"/>
                <w:sz w:val="24"/>
                <w:szCs w:val="24"/>
                <w:lang w:val="en-US" w:eastAsia="zh-CN"/>
              </w:rPr>
              <w:t>10分。</w:t>
            </w:r>
          </w:p>
          <w:p w14:paraId="794F61BA">
            <w:pPr>
              <w:adjustRightInd w:val="0"/>
              <w:snapToGrid w:val="0"/>
              <w:spacing w:line="312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（提供相关证明材料如合同、文件、影像资料等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复印件并加盖单位公章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）</w:t>
            </w:r>
          </w:p>
        </w:tc>
      </w:tr>
    </w:tbl>
    <w:p w14:paraId="029E8A97">
      <w:pPr>
        <w:spacing w:line="360" w:lineRule="auto"/>
        <w:ind w:firstLine="482" w:firstLineChars="200"/>
        <w:rPr>
          <w:rFonts w:hint="eastAsia" w:ascii="宋体" w:hAnsi="宋体" w:eastAsia="宋体" w:cs="Cambria"/>
          <w:b/>
          <w:sz w:val="24"/>
          <w:szCs w:val="24"/>
        </w:rPr>
      </w:pPr>
    </w:p>
    <w:p w14:paraId="429855E9">
      <w:pPr>
        <w:adjustRightInd w:val="0"/>
        <w:snapToGrid w:val="0"/>
        <w:spacing w:line="440" w:lineRule="exact"/>
        <w:ind w:right="-10"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87E0F"/>
    <w:rsid w:val="07687E0F"/>
    <w:rsid w:val="0CAD65D9"/>
    <w:rsid w:val="4A0230F9"/>
    <w:rsid w:val="4BE3399F"/>
    <w:rsid w:val="540331EB"/>
    <w:rsid w:val="72C1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微软雅黑" w:hAnsi="微软雅黑" w:eastAsia="楷体_GB2312" w:cs="微软雅黑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1440"/>
        <w:tab w:val="left" w:pos="5670"/>
      </w:tabs>
      <w:spacing w:before="290" w:beforeLines="100" w:after="290" w:afterLines="100"/>
      <w:ind w:firstLine="2890" w:firstLineChars="1203"/>
      <w:jc w:val="left"/>
      <w:outlineLvl w:val="0"/>
    </w:pPr>
    <w:rPr>
      <w:rFonts w:ascii="Georgia" w:eastAsia="Cambria" w:cs="Times New Roman"/>
      <w:b/>
      <w:kern w:val="44"/>
      <w:sz w:val="24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2" w:lineRule="auto"/>
    </w:pPr>
    <w:rPr>
      <w:rFonts w:ascii="Arial" w:hAnsi="Arial" w:eastAsia="黑体" w:cs="Times New Roman"/>
      <w:b/>
      <w:bCs/>
      <w:szCs w:val="32"/>
    </w:rPr>
  </w:style>
  <w:style w:type="paragraph" w:styleId="4">
    <w:name w:val="index 4"/>
    <w:basedOn w:val="1"/>
    <w:next w:val="1"/>
    <w:semiHidden/>
    <w:qFormat/>
    <w:uiPriority w:val="0"/>
    <w:pPr>
      <w:ind w:left="1260"/>
    </w:p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1022</Characters>
  <Lines>0</Lines>
  <Paragraphs>0</Paragraphs>
  <TotalTime>1</TotalTime>
  <ScaleCrop>false</ScaleCrop>
  <LinksUpToDate>false</LinksUpToDate>
  <CharactersWithSpaces>1027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2026-05-29T07:56:00Z</dcterms:created>
  <dc:creator>包包</dc:creator>
  <cp:lastModifiedBy>Laurie</cp:lastModifiedBy>
  <cp:lastPrinted>2026-06-01T03:13:00Z</cp:lastPrinted>
  <dcterms:modified xsi:type="dcterms:W3CDTF">2026-06-15T07:02:58Z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9CA981DC4C9E4C4B888BB1B000DCF39B_13</vt:lpwstr>
  </property>
  <property fmtid="{D5CDD505-2E9C-101B-9397-08002B2CF9AE}" pid="4" name="KSOTemplateDocerSaveRecord">
    <vt:lpwstr>eyJoZGlkIjoiZGQwM2EzOWQzYWI0MDI4MzIxM2FkNWJmOTQwMmUwZmQiLCJ1c2VySWQiOiIxMDE4NzQ3NzYyIn0=</vt:lpwstr>
  </property>
</Properties>
</file>